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43" w:rsidRDefault="00FF6443" w:rsidP="00FF64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FF6443" w:rsidRDefault="00FF6443" w:rsidP="00FF6443">
      <w:pPr>
        <w:jc w:val="center"/>
        <w:rPr>
          <w:rFonts w:ascii="仿宋_GB2312" w:eastAsia="仿宋_GB2312" w:hAnsi="华文中宋" w:hint="eastAsia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山东省职业教育精品资源共享课评审指标体系</w:t>
      </w:r>
    </w:p>
    <w:p w:rsidR="00FF6443" w:rsidRDefault="00FF6443" w:rsidP="00FF6443">
      <w:pPr>
        <w:snapToGrid w:val="0"/>
        <w:spacing w:line="600" w:lineRule="exact"/>
        <w:ind w:firstLineChars="200" w:firstLine="562"/>
        <w:outlineLvl w:val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FF6443" w:rsidRDefault="00FF6443" w:rsidP="00FF6443">
      <w:pPr>
        <w:ind w:firstLineChars="200" w:firstLine="560"/>
        <w:outlineLvl w:val="0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一、评审说明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．本评审指标主要针对专业课评审，公共基础课、人文素质课参照执行。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．评审指标采取定量评价与定性评价相结合的方法，以提高评审结果的可靠性与可比性，包括否决性指标、评分指标和专家评审意见三部分。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bookmarkStart w:id="0" w:name="OLE_LINK1"/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否决性指标包括5项否决情况，评审对象出现任一情况，即判定为不合格，记为“0”分，不再进行评分；评分指标总分计算：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= </w:t>
      </w:r>
      <w:r>
        <w:rPr>
          <w:rFonts w:ascii="仿宋_GB2312" w:eastAsia="仿宋_GB2312" w:hint="eastAsia"/>
          <w:sz w:val="28"/>
          <w:szCs w:val="28"/>
        </w:rPr>
        <w:t>∑K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bscript"/>
        </w:rPr>
        <w:t>j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，其中</w:t>
      </w:r>
      <w:r>
        <w:rPr>
          <w:rFonts w:ascii="仿宋_GB2312" w:eastAsia="仿宋_GB2312" w:hint="eastAsia"/>
          <w:sz w:val="28"/>
          <w:szCs w:val="28"/>
        </w:rPr>
        <w:t>K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为评分等级系数，A、B、C、D、E的系数分别为1.0、0.8、0.6、0.4、0.2，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bscript"/>
        </w:rPr>
        <w:t>j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是各二级指标的分值。专家评审意见为对评审对象的总体评价。</w:t>
      </w:r>
    </w:p>
    <w:p w:rsidR="00FF6443" w:rsidRDefault="00FF6443" w:rsidP="00FF6443">
      <w:pPr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>二、评审指标</w:t>
      </w:r>
    </w:p>
    <w:p w:rsidR="00FF6443" w:rsidRDefault="00FF6443" w:rsidP="00FF6443">
      <w:pPr>
        <w:ind w:firstLineChars="200" w:firstLine="562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1．否决性指标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近三年课程负责人未承担该课程教学任务；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（2）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有涉及国家安全、保密及其他不适合网络公开传播的内容；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（3）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课程内容存在思想性、导向性或严重的科学性等问题；</w:t>
      </w:r>
    </w:p>
    <w:p w:rsidR="00FF6443" w:rsidRDefault="00FF6443" w:rsidP="00FF6443">
      <w:pPr>
        <w:ind w:firstLineChars="200" w:firstLine="560"/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（4）课程资源存在严重知识产权争议；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（5）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申报材料造假。</w:t>
      </w:r>
    </w:p>
    <w:p w:rsidR="00FF6443" w:rsidRDefault="00FF6443" w:rsidP="00FF6443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注：如评审专家判定评审对象存在以上情形，须写明具体情况</w:t>
      </w:r>
      <w:r>
        <w:rPr>
          <w:rFonts w:ascii="仿宋_GB2312" w:eastAsia="仿宋_GB2312"/>
          <w:bCs/>
          <w:color w:val="000000"/>
          <w:sz w:val="28"/>
          <w:szCs w:val="28"/>
        </w:rPr>
        <w:t>及</w:t>
      </w:r>
      <w:r>
        <w:rPr>
          <w:rFonts w:ascii="仿宋_GB2312" w:eastAsia="仿宋_GB2312"/>
          <w:bCs/>
          <w:color w:val="000000"/>
          <w:sz w:val="28"/>
          <w:szCs w:val="28"/>
        </w:rPr>
        <w:lastRenderedPageBreak/>
        <w:t>出处。</w:t>
      </w:r>
    </w:p>
    <w:p w:rsidR="00FF6443" w:rsidRDefault="00FF6443" w:rsidP="00FF6443">
      <w:pPr>
        <w:snapToGrid w:val="0"/>
        <w:spacing w:line="60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br w:type="page"/>
      </w: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2．评分指标及内涵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4"/>
        <w:gridCol w:w="4675"/>
        <w:gridCol w:w="512"/>
        <w:gridCol w:w="451"/>
        <w:gridCol w:w="451"/>
        <w:gridCol w:w="451"/>
        <w:gridCol w:w="451"/>
        <w:gridCol w:w="452"/>
      </w:tblGrid>
      <w:tr w:rsidR="00FF6443" w:rsidTr="009446B7">
        <w:trPr>
          <w:cantSplit/>
          <w:trHeight w:val="360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6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二级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46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指标内涵</w:t>
            </w:r>
          </w:p>
        </w:tc>
        <w:tc>
          <w:tcPr>
            <w:tcW w:w="512" w:type="dxa"/>
            <w:vMerge w:val="restart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2256" w:type="dxa"/>
            <w:gridSpan w:val="5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评分等级</w:t>
            </w:r>
          </w:p>
        </w:tc>
      </w:tr>
      <w:tr w:rsidR="00FF6443" w:rsidTr="009446B7">
        <w:trPr>
          <w:cantSplit/>
          <w:trHeight w:val="311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A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45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E</w:t>
            </w:r>
          </w:p>
        </w:tc>
      </w:tr>
      <w:tr w:rsidR="00FF6443" w:rsidTr="009446B7">
        <w:trPr>
          <w:cantSplit/>
          <w:trHeight w:val="360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ind w:firstLineChars="49" w:firstLine="103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1.0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0.8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0.6</w:t>
            </w:r>
          </w:p>
        </w:tc>
        <w:tc>
          <w:tcPr>
            <w:tcW w:w="451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0.4</w:t>
            </w:r>
          </w:p>
        </w:tc>
        <w:tc>
          <w:tcPr>
            <w:tcW w:w="45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0.2</w:t>
            </w:r>
          </w:p>
        </w:tc>
      </w:tr>
      <w:tr w:rsidR="00FF6443" w:rsidTr="009446B7">
        <w:trPr>
          <w:cantSplit/>
          <w:trHeight w:val="858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1.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课程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设计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︵</w:t>
            </w:r>
          </w:p>
          <w:p w:rsidR="00FF6443" w:rsidRDefault="00FF6443" w:rsidP="009446B7">
            <w:pPr>
              <w:spacing w:line="240" w:lineRule="exact"/>
              <w:ind w:firstLineChars="50" w:firstLine="105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  <w:p w:rsidR="00FF6443" w:rsidRDefault="00FF6443" w:rsidP="009446B7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分</w:t>
            </w:r>
          </w:p>
          <w:p w:rsidR="00FF6443" w:rsidRDefault="00FF6443" w:rsidP="009446B7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︶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1.1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课程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定位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充分考虑职业院校学生、教师的不同特点及学习需求，促进职业技能和培养职业精神高度融合，契合整体提升学生职业能力、人文素质和职业素养的培养目标要求。 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127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1.2内容选取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按照科技发展水平、胜任职业岗位实际工作任务需要的知识、能力、素质要求和职业资格标准，设计课程结构和选取内容，并为学生可持续发展奠定良好的基础。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1.3内容组织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Microsoft YaHei ΢ȭхڢ  ڌ墠 ˎ̥" w:eastAsia="Microsoft YaHei ΢ȭхڢ  ڌ墠 ˎ̥" w:hAnsi="微软雅黑" w:hint="eastAsia"/>
                <w:color w:val="333333"/>
                <w:spacing w:val="-11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遵循学生职业能力培养的基本规律，依据生产服务的真实业务流程，设计教学空间和课程模块，整合、序化教学内容，教、学、做结合，理论与实践一体化，实训、实习等教学环节设计合理。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1.4教学模式 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重视学生在校学习与实际工作的一致性，推行项目教学、案例教学、工作过程导向教学等教学模式，运用探究式、线上线下混合式等教学方式方法。</w:t>
            </w:r>
            <w:r w:rsidRPr="00615F6F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强化信息化教学设计和教学实施，充分、合理运用信息技术、数字资源和信息化教学环境，系统优化教学过程。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2.课程资源（35分）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2.1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基本资源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提供的课程资源须覆盖课程所有基本知识点和岗位基本技能点，能为教师教学和学生学习提供系统、完整的教学资源保障，能与实际教学条件相结合，支撑教学活动开展。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拓展资源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体现行业发展的前沿技术和最新成果，根据产业发展要求和不同用户的个性化需求，有针对性地开发建设资源，如素材库、培训包、工种包、企业案例等；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资源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在数量和类型上超出课程所调用的资源范围，具有较强的普适性、可扩展性和多样性。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3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资源创新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充分利用信息技术，根据课程特点选择恰当表现形式和工具开发并汇集教学资源，便于用户浏览、下载、链接和使用。原创性资源比例较高。资源知识产权清晰，符合技术标准。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3.建设条件（10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lastRenderedPageBreak/>
              <w:t>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lastRenderedPageBreak/>
              <w:t>3.1资格要求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面向山东省主导产业、特色产业和战略新兴产业，专业布点多、学生数量大、行业企业需求迫切的公共基础课、专业基础课和专业核心课；课程必须已在职业院校连续开设3年以上。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3.2规模要求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初具规模和成效。申报书</w:t>
            </w:r>
            <w:r w:rsidRPr="00D335DD">
              <w:rPr>
                <w:rFonts w:ascii="仿宋_GB2312" w:eastAsia="仿宋_GB2312" w:hint="eastAsia"/>
                <w:bCs/>
                <w:color w:val="000000"/>
                <w:szCs w:val="21"/>
              </w:rPr>
              <w:t>体现高水平的专业建设与课程改革成果；已建成课程资源的比例不低于30%；资源类型多样、分布合理，文本类和图形（图像）类资源数量占比不超过50%；结构化课程建设初具规模，教学设计、教学实施、过程记录、教学评价、自主学习等功能完备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.3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团队要求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体现校企融合、结构合理原则。团队成员应具有一定比例的行业企业专家，鼓励吸收校外承担相同课程的教师共同建设。课程主持人应为具有丰富教学经验的职业院校在职教师。专业教师应具有到相关行业、产业领域开展产学研合作经历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4.共建共享（10分）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4.1管理机制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各职业院校作为精品资源共享课建设的主体，构建起校、省两级精品资源共享课建设体系，并有经费等政策支持。实现精品资源共享课程建设、应用、评价的常态化管理。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4.2共建共享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形成行业企业积极参与，学校间通力合作，师生与社会共建的长效建设机制。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建设本单位“网络教学平台”，并与“山东省职业教育课程建设平台”实现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互联，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共享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课程资源</w:t>
            </w:r>
            <w:r w:rsidRPr="00B905EB">
              <w:rPr>
                <w:rFonts w:ascii="仿宋_GB2312" w:eastAsia="仿宋_GB2312" w:hint="eastAsia"/>
                <w:bCs/>
                <w:color w:val="000000"/>
                <w:szCs w:val="21"/>
                <w:highlight w:val="yellow"/>
              </w:rPr>
              <w:t>，满足师生多样化需求。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提出的课程后续3年建设规划切实可行，确保每年课程资源更新比例不低于10%。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FF6443" w:rsidTr="009446B7">
        <w:trPr>
          <w:cantSplit/>
          <w:trHeight w:val="923"/>
          <w:jc w:val="center"/>
        </w:trPr>
        <w:tc>
          <w:tcPr>
            <w:tcW w:w="5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</w:t>
            </w:r>
          </w:p>
          <w:p w:rsidR="00FF6443" w:rsidRDefault="00FF6443" w:rsidP="009446B7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特色创新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︵</w:t>
            </w:r>
          </w:p>
          <w:p w:rsidR="00FF6443" w:rsidRDefault="00FF6443" w:rsidP="009446B7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5分</w:t>
            </w:r>
          </w:p>
          <w:p w:rsidR="00FF6443" w:rsidRDefault="00FF6443" w:rsidP="009446B7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︶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.1</w:t>
            </w:r>
          </w:p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特色创新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在课程设计、课程资源、共建共享等内容上的突破及独创性成果，对同类精品资源共享课程建设具有积极引导意义和实际借鉴作用。</w:t>
            </w:r>
          </w:p>
        </w:tc>
        <w:tc>
          <w:tcPr>
            <w:tcW w:w="512" w:type="dxa"/>
            <w:vAlign w:val="center"/>
          </w:tcPr>
          <w:p w:rsidR="00FF6443" w:rsidRDefault="00FF6443" w:rsidP="009446B7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FF6443" w:rsidRDefault="00FF6443" w:rsidP="009446B7">
            <w:pPr>
              <w:spacing w:line="30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</w:tbl>
    <w:p w:rsidR="00FF6443" w:rsidRDefault="00FF6443" w:rsidP="00FF6443">
      <w:pPr>
        <w:snapToGrid w:val="0"/>
        <w:rPr>
          <w:rFonts w:ascii="仿宋_GB2312" w:eastAsia="仿宋_GB2312" w:hint="eastAsia"/>
          <w:bCs/>
          <w:color w:val="000000"/>
          <w:szCs w:val="21"/>
        </w:rPr>
      </w:pPr>
    </w:p>
    <w:p w:rsidR="00FF6443" w:rsidRDefault="00FF6443" w:rsidP="00FF6443">
      <w:pPr>
        <w:ind w:firstLineChars="150" w:firstLine="315"/>
        <w:rPr>
          <w:rFonts w:ascii="宋体" w:hAnsi="宋体" w:hint="eastAsia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FF6443" w:rsidRDefault="00FF6443" w:rsidP="00FF6443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C32C83" w:rsidRDefault="00C32C83" w:rsidP="00FF6443">
      <w:bookmarkStart w:id="1" w:name="_GoBack"/>
      <w:bookmarkEnd w:id="1"/>
    </w:p>
    <w:sectPr w:rsidR="00C3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D7" w:rsidRDefault="00394AD7" w:rsidP="00FF6443">
      <w:r>
        <w:separator/>
      </w:r>
    </w:p>
  </w:endnote>
  <w:endnote w:type="continuationSeparator" w:id="0">
    <w:p w:rsidR="00394AD7" w:rsidRDefault="00394AD7" w:rsidP="00FF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D7" w:rsidRDefault="00394AD7" w:rsidP="00FF6443">
      <w:r>
        <w:separator/>
      </w:r>
    </w:p>
  </w:footnote>
  <w:footnote w:type="continuationSeparator" w:id="0">
    <w:p w:rsidR="00394AD7" w:rsidRDefault="00394AD7" w:rsidP="00FF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14"/>
    <w:rsid w:val="00372314"/>
    <w:rsid w:val="00394AD7"/>
    <w:rsid w:val="00C32C8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D054A-3DE8-4617-A37B-31A7534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2016-05-16T07:33:00Z</dcterms:created>
  <dcterms:modified xsi:type="dcterms:W3CDTF">2016-05-16T07:33:00Z</dcterms:modified>
</cp:coreProperties>
</file>